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C786C87" w:rsidR="001A53D6" w:rsidRPr="00C66E4D" w:rsidRDefault="004A2AFB" w:rsidP="00D06917">
            <w:pPr>
              <w:spacing w:line="360" w:lineRule="auto"/>
              <w:jc w:val="both"/>
              <w:rPr>
                <w:rFonts w:ascii="Times New Roman" w:hAnsi="Times New Roman" w:cs="Times New Roman"/>
                <w:b/>
                <w:color w:val="000000" w:themeColor="text1"/>
              </w:rPr>
            </w:pPr>
            <w:bookmarkStart w:id="0" w:name="_GoBack"/>
            <w:r w:rsidRPr="004A2AFB">
              <w:rPr>
                <w:rFonts w:ascii="Times New Roman" w:hAnsi="Times New Roman" w:cs="Times New Roman"/>
                <w:b/>
                <w:color w:val="000000" w:themeColor="text1"/>
              </w:rPr>
              <w:t>JFN-2943</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417FE68B" w:rsidR="003069E0" w:rsidRPr="00C66E4D" w:rsidRDefault="007A5D0E"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7A5D0E">
              <w:rPr>
                <w:rFonts w:ascii="Times New Roman" w:hAnsi="Times New Roman" w:cs="Times New Roman"/>
                <w:b/>
                <w:color w:val="000000" w:themeColor="text1"/>
              </w:rPr>
              <w:t>Nachon</w:t>
            </w:r>
            <w:proofErr w:type="spellEnd"/>
            <w:r w:rsidRPr="007A5D0E">
              <w:rPr>
                <w:rFonts w:ascii="Times New Roman" w:hAnsi="Times New Roman" w:cs="Times New Roman"/>
                <w:b/>
                <w:color w:val="000000" w:themeColor="text1"/>
              </w:rPr>
              <w:t xml:space="preserve"> Garcia Francisco J</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3DB5EFE1" w:rsidR="002A5015" w:rsidRPr="00C66E4D" w:rsidRDefault="00E9204E" w:rsidP="00D538D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F4249B">
              <w:rPr>
                <w:rFonts w:ascii="Times New Roman" w:eastAsia="Times New Roman" w:hAnsi="Times New Roman" w:cs="Times New Roman"/>
                <w:b/>
                <w:bCs/>
                <w:color w:val="000000" w:themeColor="text1"/>
                <w:shd w:val="clear" w:color="auto" w:fill="FFFFFF"/>
                <w:lang w:val="en-IN" w:eastAsia="en-IN"/>
              </w:rPr>
              <w:t xml:space="preserve"> </w:t>
            </w:r>
            <w:r w:rsidR="004A2AFB" w:rsidRPr="004A2AFB">
              <w:rPr>
                <w:rFonts w:ascii="Times New Roman" w:eastAsia="Times New Roman" w:hAnsi="Times New Roman" w:cs="Times New Roman"/>
                <w:b/>
                <w:bCs/>
                <w:color w:val="000000" w:themeColor="text1"/>
                <w:shd w:val="clear" w:color="auto" w:fill="FFFFFF"/>
                <w:lang w:val="en-IN" w:eastAsia="en-IN"/>
              </w:rPr>
              <w:t>Vitamin D Supplementation in Type I Obese Patients in Mexico</w:t>
            </w:r>
          </w:p>
          <w:p w14:paraId="3E546D57" w14:textId="21A6AEFB" w:rsidR="00D33E49" w:rsidRDefault="00140858" w:rsidP="004A2AF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4A2AFB" w:rsidRPr="004A2AFB">
              <w:rPr>
                <w:rFonts w:ascii="Times New Roman" w:eastAsia="Times New Roman" w:hAnsi="Times New Roman" w:cs="Times New Roman"/>
                <w:bCs/>
                <w:color w:val="000000" w:themeColor="text1"/>
                <w:shd w:val="clear" w:color="auto" w:fill="FFFFFF"/>
                <w:lang w:val="en-IN" w:eastAsia="en-IN"/>
              </w:rPr>
              <w:t>This study presents important findings that can help inform clinical practices regarding vitamin D supplementation in obese patients. With some minor improvements and additional data visualization, the article can provide even clearer insights and broader applicability.</w:t>
            </w:r>
          </w:p>
          <w:p w14:paraId="740C6215" w14:textId="04FECD0B" w:rsidR="00443A69" w:rsidRDefault="00DD7711" w:rsidP="00240083">
            <w:pPr>
              <w:spacing w:after="160" w:line="360" w:lineRule="auto"/>
              <w:jc w:val="both"/>
              <w:rPr>
                <w:rFonts w:ascii="Times New Roman" w:hAnsi="Times New Roman" w:cs="Times New Roman"/>
                <w:bCs/>
                <w:szCs w:val="24"/>
              </w:rPr>
            </w:pPr>
            <w:r>
              <w:rPr>
                <w:rFonts w:ascii="Times New Roman" w:hAnsi="Times New Roman" w:cs="Times New Roman"/>
                <w:bCs/>
                <w:szCs w:val="24"/>
              </w:rPr>
              <w:t xml:space="preserve">Introduction: - </w:t>
            </w:r>
            <w:r w:rsidR="004A2AFB" w:rsidRPr="004A2AFB">
              <w:rPr>
                <w:rFonts w:ascii="Times New Roman" w:hAnsi="Times New Roman" w:cs="Times New Roman"/>
                <w:bCs/>
                <w:szCs w:val="24"/>
              </w:rPr>
              <w:t xml:space="preserve">The introduction is </w:t>
            </w:r>
            <w:proofErr w:type="gramStart"/>
            <w:r w:rsidR="004A2AFB" w:rsidRPr="004A2AFB">
              <w:rPr>
                <w:rFonts w:ascii="Times New Roman" w:hAnsi="Times New Roman" w:cs="Times New Roman"/>
                <w:bCs/>
                <w:szCs w:val="24"/>
              </w:rPr>
              <w:t>well-written</w:t>
            </w:r>
            <w:proofErr w:type="gramEnd"/>
            <w:r w:rsidR="004A2AFB" w:rsidRPr="004A2AFB">
              <w:rPr>
                <w:rFonts w:ascii="Times New Roman" w:hAnsi="Times New Roman" w:cs="Times New Roman"/>
                <w:bCs/>
                <w:szCs w:val="24"/>
              </w:rPr>
              <w:t>, providing an extensive background on vitamin D’s roles beyond bone health, its association with various disorders, and the exacerbating effect of obesity on vitamin D deficiency. The explanations regarding the mechanisms leading to lower vitamin D levels in obese individuals are thorough and supported by literature.</w:t>
            </w:r>
          </w:p>
          <w:p w14:paraId="3E0CD146" w14:textId="6262D720" w:rsidR="004A2AFB" w:rsidRDefault="004A2AFB" w:rsidP="00443A69">
            <w:pPr>
              <w:spacing w:line="360" w:lineRule="auto"/>
              <w:jc w:val="both"/>
              <w:rPr>
                <w:rFonts w:ascii="Times New Roman" w:hAnsi="Times New Roman" w:cs="Times New Roman"/>
                <w:bCs/>
                <w:szCs w:val="24"/>
              </w:rPr>
            </w:pPr>
            <w:r>
              <w:rPr>
                <w:rFonts w:ascii="Times New Roman" w:hAnsi="Times New Roman" w:cs="Times New Roman"/>
                <w:bCs/>
                <w:szCs w:val="24"/>
              </w:rPr>
              <w:t xml:space="preserve">Methodology: - </w:t>
            </w:r>
            <w:r w:rsidRPr="004A2AFB">
              <w:rPr>
                <w:rFonts w:ascii="Times New Roman" w:hAnsi="Times New Roman" w:cs="Times New Roman"/>
                <w:bCs/>
                <w:szCs w:val="24"/>
              </w:rPr>
              <w:t xml:space="preserve">The methodology section </w:t>
            </w:r>
            <w:proofErr w:type="gramStart"/>
            <w:r w:rsidRPr="004A2AFB">
              <w:rPr>
                <w:rFonts w:ascii="Times New Roman" w:hAnsi="Times New Roman" w:cs="Times New Roman"/>
                <w:bCs/>
                <w:szCs w:val="24"/>
              </w:rPr>
              <w:t>is detailed</w:t>
            </w:r>
            <w:proofErr w:type="gramEnd"/>
            <w:r w:rsidRPr="004A2AFB">
              <w:rPr>
                <w:rFonts w:ascii="Times New Roman" w:hAnsi="Times New Roman" w:cs="Times New Roman"/>
                <w:bCs/>
                <w:szCs w:val="24"/>
              </w:rPr>
              <w:t>, covering participant selection, exclusion criteria, and the specifics of the intervention and measurements.</w:t>
            </w:r>
            <w:r>
              <w:rPr>
                <w:rFonts w:ascii="Times New Roman" w:hAnsi="Times New Roman" w:cs="Times New Roman"/>
                <w:bCs/>
                <w:szCs w:val="24"/>
              </w:rPr>
              <w:t xml:space="preserve"> </w:t>
            </w:r>
            <w:r w:rsidRPr="004A2AFB">
              <w:rPr>
                <w:rFonts w:ascii="Times New Roman" w:hAnsi="Times New Roman" w:cs="Times New Roman"/>
                <w:bCs/>
                <w:szCs w:val="24"/>
              </w:rPr>
              <w:t>Provide a justification for the chosen sample size beyond resource availability, possibly referencing power calculations.</w:t>
            </w:r>
          </w:p>
          <w:p w14:paraId="42E19D45" w14:textId="492C1143" w:rsidR="00443A69" w:rsidRDefault="00906541" w:rsidP="00443A69">
            <w:pPr>
              <w:spacing w:line="360" w:lineRule="auto"/>
              <w:jc w:val="both"/>
              <w:rPr>
                <w:rFonts w:ascii="Times New Roman" w:hAnsi="Times New Roman" w:cs="Times New Roman"/>
                <w:bCs/>
                <w:szCs w:val="24"/>
              </w:rPr>
            </w:pPr>
            <w:r>
              <w:rPr>
                <w:rFonts w:ascii="Times New Roman" w:hAnsi="Times New Roman" w:cs="Times New Roman"/>
                <w:bCs/>
                <w:szCs w:val="24"/>
              </w:rPr>
              <w:t xml:space="preserve">Results: - </w:t>
            </w:r>
            <w:r w:rsidR="004A2AFB" w:rsidRPr="004A2AFB">
              <w:rPr>
                <w:rFonts w:ascii="Times New Roman" w:hAnsi="Times New Roman" w:cs="Times New Roman"/>
                <w:bCs/>
                <w:szCs w:val="24"/>
              </w:rPr>
              <w:t xml:space="preserve">The results </w:t>
            </w:r>
            <w:proofErr w:type="gramStart"/>
            <w:r w:rsidR="004A2AFB" w:rsidRPr="004A2AFB">
              <w:rPr>
                <w:rFonts w:ascii="Times New Roman" w:hAnsi="Times New Roman" w:cs="Times New Roman"/>
                <w:bCs/>
                <w:szCs w:val="24"/>
              </w:rPr>
              <w:t>are clearly presented</w:t>
            </w:r>
            <w:proofErr w:type="gramEnd"/>
            <w:r w:rsidR="004A2AFB" w:rsidRPr="004A2AFB">
              <w:rPr>
                <w:rFonts w:ascii="Times New Roman" w:hAnsi="Times New Roman" w:cs="Times New Roman"/>
                <w:bCs/>
                <w:szCs w:val="24"/>
              </w:rPr>
              <w:t>, with detailed statistical analysis and interpretation. The negative correlation between BMI and 25(OH</w:t>
            </w:r>
            <w:proofErr w:type="gramStart"/>
            <w:r w:rsidR="004A2AFB" w:rsidRPr="004A2AFB">
              <w:rPr>
                <w:rFonts w:ascii="Times New Roman" w:hAnsi="Times New Roman" w:cs="Times New Roman"/>
                <w:bCs/>
                <w:szCs w:val="24"/>
              </w:rPr>
              <w:t>)D</w:t>
            </w:r>
            <w:proofErr w:type="gramEnd"/>
            <w:r w:rsidR="004A2AFB" w:rsidRPr="004A2AFB">
              <w:rPr>
                <w:rFonts w:ascii="Times New Roman" w:hAnsi="Times New Roman" w:cs="Times New Roman"/>
                <w:bCs/>
                <w:szCs w:val="24"/>
              </w:rPr>
              <w:t xml:space="preserve"> levels is well-documented, and the significant improvement in vitamin D levels post-supplementation is convincing.</w:t>
            </w:r>
            <w:r w:rsidR="004A2AFB">
              <w:rPr>
                <w:rFonts w:ascii="Times New Roman" w:hAnsi="Times New Roman" w:cs="Times New Roman"/>
                <w:bCs/>
                <w:szCs w:val="24"/>
              </w:rPr>
              <w:t xml:space="preserve"> </w:t>
            </w:r>
            <w:r w:rsidR="004A2AFB" w:rsidRPr="004A2AFB">
              <w:rPr>
                <w:rFonts w:ascii="Times New Roman" w:hAnsi="Times New Roman" w:cs="Times New Roman"/>
                <w:bCs/>
                <w:szCs w:val="24"/>
              </w:rPr>
              <w:t xml:space="preserve">While no adverse effects </w:t>
            </w:r>
            <w:proofErr w:type="gramStart"/>
            <w:r w:rsidR="004A2AFB" w:rsidRPr="004A2AFB">
              <w:rPr>
                <w:rFonts w:ascii="Times New Roman" w:hAnsi="Times New Roman" w:cs="Times New Roman"/>
                <w:bCs/>
                <w:szCs w:val="24"/>
              </w:rPr>
              <w:t>were reported</w:t>
            </w:r>
            <w:proofErr w:type="gramEnd"/>
            <w:r w:rsidR="004A2AFB" w:rsidRPr="004A2AFB">
              <w:rPr>
                <w:rFonts w:ascii="Times New Roman" w:hAnsi="Times New Roman" w:cs="Times New Roman"/>
                <w:bCs/>
                <w:szCs w:val="24"/>
              </w:rPr>
              <w:t>, providing a more detailed account of potential side effects observed during the study could be beneficial.</w:t>
            </w:r>
          </w:p>
          <w:p w14:paraId="4C13FF2C" w14:textId="323C4911" w:rsidR="004A2AFB" w:rsidRDefault="004A2AFB" w:rsidP="00443A69">
            <w:pPr>
              <w:spacing w:line="360" w:lineRule="auto"/>
              <w:jc w:val="both"/>
              <w:rPr>
                <w:rFonts w:ascii="Times New Roman" w:hAnsi="Times New Roman" w:cs="Times New Roman"/>
                <w:bCs/>
                <w:szCs w:val="24"/>
              </w:rPr>
            </w:pPr>
            <w:r>
              <w:rPr>
                <w:rFonts w:ascii="Times New Roman" w:hAnsi="Times New Roman" w:cs="Times New Roman"/>
                <w:bCs/>
                <w:szCs w:val="24"/>
              </w:rPr>
              <w:t xml:space="preserve">Discussions: - </w:t>
            </w:r>
            <w:r w:rsidRPr="004A2AFB">
              <w:rPr>
                <w:rFonts w:ascii="Times New Roman" w:hAnsi="Times New Roman" w:cs="Times New Roman"/>
                <w:bCs/>
                <w:szCs w:val="24"/>
              </w:rPr>
              <w:t xml:space="preserve">The discussion effectively interprets the results, linking them back to the literature and explaining the implications of the findings. The choice of olive oil as the vehicle for vitamin D3 supplementation and its effectiveness is </w:t>
            </w:r>
            <w:proofErr w:type="gramStart"/>
            <w:r w:rsidRPr="004A2AFB">
              <w:rPr>
                <w:rFonts w:ascii="Times New Roman" w:hAnsi="Times New Roman" w:cs="Times New Roman"/>
                <w:bCs/>
                <w:szCs w:val="24"/>
              </w:rPr>
              <w:t>well-argued</w:t>
            </w:r>
            <w:proofErr w:type="gramEnd"/>
            <w:r w:rsidRPr="004A2AFB">
              <w:rPr>
                <w:rFonts w:ascii="Times New Roman" w:hAnsi="Times New Roman" w:cs="Times New Roman"/>
                <w:bCs/>
                <w:szCs w:val="24"/>
              </w:rPr>
              <w:t>.</w:t>
            </w:r>
            <w:r>
              <w:rPr>
                <w:rFonts w:ascii="Times New Roman" w:hAnsi="Times New Roman" w:cs="Times New Roman"/>
                <w:bCs/>
                <w:szCs w:val="24"/>
              </w:rPr>
              <w:t xml:space="preserve"> </w:t>
            </w:r>
            <w:r w:rsidRPr="004A2AFB">
              <w:rPr>
                <w:rFonts w:ascii="Times New Roman" w:hAnsi="Times New Roman" w:cs="Times New Roman"/>
                <w:bCs/>
                <w:szCs w:val="24"/>
              </w:rPr>
              <w:t>Elaborate on the proposed future research directions, including different dosages, longer follow-up periods, or a more diverse patient population.</w:t>
            </w:r>
          </w:p>
          <w:p w14:paraId="6FC40F8A" w14:textId="77777777" w:rsidR="004A2AFB" w:rsidRDefault="004A2AFB" w:rsidP="00443A69">
            <w:pPr>
              <w:spacing w:line="360" w:lineRule="auto"/>
              <w:jc w:val="both"/>
              <w:rPr>
                <w:rFonts w:ascii="Times New Roman" w:hAnsi="Times New Roman" w:cs="Times New Roman"/>
                <w:bCs/>
                <w:szCs w:val="24"/>
              </w:rPr>
            </w:pPr>
          </w:p>
          <w:p w14:paraId="387941E6" w14:textId="1053154D"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A0588" w14:textId="77777777" w:rsidR="009E5AFA" w:rsidRDefault="009E5AFA" w:rsidP="00F65AB0">
      <w:pPr>
        <w:spacing w:after="0" w:line="240" w:lineRule="auto"/>
      </w:pPr>
      <w:r>
        <w:separator/>
      </w:r>
    </w:p>
  </w:endnote>
  <w:endnote w:type="continuationSeparator" w:id="0">
    <w:p w14:paraId="7E236EBD" w14:textId="77777777" w:rsidR="009E5AFA" w:rsidRDefault="009E5AFA"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486A1" w14:textId="77777777" w:rsidR="009E5AFA" w:rsidRDefault="009E5AFA" w:rsidP="00F65AB0">
      <w:pPr>
        <w:spacing w:after="0" w:line="240" w:lineRule="auto"/>
      </w:pPr>
      <w:r>
        <w:separator/>
      </w:r>
    </w:p>
  </w:footnote>
  <w:footnote w:type="continuationSeparator" w:id="0">
    <w:p w14:paraId="505CF3A4" w14:textId="77777777" w:rsidR="009E5AFA" w:rsidRDefault="009E5AFA"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B053FC9"/>
    <w:multiLevelType w:val="hybridMultilevel"/>
    <w:tmpl w:val="92D6C9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A22229"/>
    <w:multiLevelType w:val="hybridMultilevel"/>
    <w:tmpl w:val="752A58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40161C7"/>
    <w:multiLevelType w:val="hybridMultilevel"/>
    <w:tmpl w:val="92A681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41B69D4"/>
    <w:multiLevelType w:val="multilevel"/>
    <w:tmpl w:val="B48E5840"/>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i/>
        <w:sz w:val="22"/>
      </w:rPr>
    </w:lvl>
    <w:lvl w:ilvl="2">
      <w:start w:val="1"/>
      <w:numFmt w:val="decimal"/>
      <w:isLgl/>
      <w:lvlText w:val="%1.%2.%3."/>
      <w:lvlJc w:val="left"/>
      <w:pPr>
        <w:ind w:left="1080" w:hanging="720"/>
      </w:pPr>
      <w:rPr>
        <w:rFonts w:hint="default"/>
        <w:i/>
        <w:sz w:val="22"/>
      </w:rPr>
    </w:lvl>
    <w:lvl w:ilvl="3">
      <w:start w:val="1"/>
      <w:numFmt w:val="decimal"/>
      <w:isLgl/>
      <w:lvlText w:val="%1.%2.%3.%4."/>
      <w:lvlJc w:val="left"/>
      <w:pPr>
        <w:ind w:left="1080" w:hanging="720"/>
      </w:pPr>
      <w:rPr>
        <w:rFonts w:hint="default"/>
        <w:i/>
        <w:sz w:val="22"/>
      </w:rPr>
    </w:lvl>
    <w:lvl w:ilvl="4">
      <w:start w:val="1"/>
      <w:numFmt w:val="decimal"/>
      <w:isLgl/>
      <w:lvlText w:val="%1.%2.%3.%4.%5."/>
      <w:lvlJc w:val="left"/>
      <w:pPr>
        <w:ind w:left="1440" w:hanging="1080"/>
      </w:pPr>
      <w:rPr>
        <w:rFonts w:hint="default"/>
        <w:i/>
        <w:sz w:val="22"/>
      </w:rPr>
    </w:lvl>
    <w:lvl w:ilvl="5">
      <w:start w:val="1"/>
      <w:numFmt w:val="decimal"/>
      <w:isLgl/>
      <w:lvlText w:val="%1.%2.%3.%4.%5.%6."/>
      <w:lvlJc w:val="left"/>
      <w:pPr>
        <w:ind w:left="1440" w:hanging="1080"/>
      </w:pPr>
      <w:rPr>
        <w:rFonts w:hint="default"/>
        <w:i/>
        <w:sz w:val="22"/>
      </w:rPr>
    </w:lvl>
    <w:lvl w:ilvl="6">
      <w:start w:val="1"/>
      <w:numFmt w:val="decimal"/>
      <w:isLgl/>
      <w:lvlText w:val="%1.%2.%3.%4.%5.%6.%7."/>
      <w:lvlJc w:val="left"/>
      <w:pPr>
        <w:ind w:left="1800" w:hanging="1440"/>
      </w:pPr>
      <w:rPr>
        <w:rFonts w:hint="default"/>
        <w:i/>
        <w:sz w:val="22"/>
      </w:rPr>
    </w:lvl>
    <w:lvl w:ilvl="7">
      <w:start w:val="1"/>
      <w:numFmt w:val="decimal"/>
      <w:isLgl/>
      <w:lvlText w:val="%1.%2.%3.%4.%5.%6.%7.%8."/>
      <w:lvlJc w:val="left"/>
      <w:pPr>
        <w:ind w:left="1800" w:hanging="1440"/>
      </w:pPr>
      <w:rPr>
        <w:rFonts w:hint="default"/>
        <w:i/>
        <w:sz w:val="22"/>
      </w:rPr>
    </w:lvl>
    <w:lvl w:ilvl="8">
      <w:start w:val="1"/>
      <w:numFmt w:val="decimal"/>
      <w:isLgl/>
      <w:lvlText w:val="%1.%2.%3.%4.%5.%6.%7.%8.%9."/>
      <w:lvlJc w:val="left"/>
      <w:pPr>
        <w:ind w:left="2160" w:hanging="1800"/>
      </w:pPr>
      <w:rPr>
        <w:rFonts w:hint="default"/>
        <w:i/>
        <w:sz w:val="22"/>
      </w:rPr>
    </w:lvl>
  </w:abstractNum>
  <w:abstractNum w:abstractNumId="28">
    <w:nsid w:val="55711BCE"/>
    <w:multiLevelType w:val="hybridMultilevel"/>
    <w:tmpl w:val="DEEA59E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03C7E24"/>
    <w:multiLevelType w:val="hybridMultilevel"/>
    <w:tmpl w:val="EDFC6B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0C330B2"/>
    <w:multiLevelType w:val="hybridMultilevel"/>
    <w:tmpl w:val="AB9E7C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76210EBB"/>
    <w:multiLevelType w:val="hybridMultilevel"/>
    <w:tmpl w:val="8D7A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0"/>
  </w:num>
  <w:num w:numId="4">
    <w:abstractNumId w:val="1"/>
  </w:num>
  <w:num w:numId="5">
    <w:abstractNumId w:val="7"/>
  </w:num>
  <w:num w:numId="6">
    <w:abstractNumId w:val="40"/>
  </w:num>
  <w:num w:numId="7">
    <w:abstractNumId w:val="32"/>
  </w:num>
  <w:num w:numId="8">
    <w:abstractNumId w:val="22"/>
  </w:num>
  <w:num w:numId="9">
    <w:abstractNumId w:val="31"/>
  </w:num>
  <w:num w:numId="10">
    <w:abstractNumId w:val="33"/>
  </w:num>
  <w:num w:numId="11">
    <w:abstractNumId w:val="14"/>
  </w:num>
  <w:num w:numId="12">
    <w:abstractNumId w:val="25"/>
  </w:num>
  <w:num w:numId="13">
    <w:abstractNumId w:val="19"/>
  </w:num>
  <w:num w:numId="14">
    <w:abstractNumId w:val="29"/>
  </w:num>
  <w:num w:numId="15">
    <w:abstractNumId w:val="21"/>
  </w:num>
  <w:num w:numId="16">
    <w:abstractNumId w:val="12"/>
  </w:num>
  <w:num w:numId="17">
    <w:abstractNumId w:val="2"/>
  </w:num>
  <w:num w:numId="18">
    <w:abstractNumId w:val="17"/>
  </w:num>
  <w:num w:numId="19">
    <w:abstractNumId w:val="24"/>
  </w:num>
  <w:num w:numId="20">
    <w:abstractNumId w:val="20"/>
  </w:num>
  <w:num w:numId="21">
    <w:abstractNumId w:val="6"/>
  </w:num>
  <w:num w:numId="22">
    <w:abstractNumId w:val="41"/>
  </w:num>
  <w:num w:numId="23">
    <w:abstractNumId w:val="3"/>
  </w:num>
  <w:num w:numId="24">
    <w:abstractNumId w:val="30"/>
  </w:num>
  <w:num w:numId="25">
    <w:abstractNumId w:val="5"/>
  </w:num>
  <w:num w:numId="26">
    <w:abstractNumId w:val="16"/>
  </w:num>
  <w:num w:numId="27">
    <w:abstractNumId w:val="18"/>
  </w:num>
  <w:num w:numId="28">
    <w:abstractNumId w:val="11"/>
  </w:num>
  <w:num w:numId="29">
    <w:abstractNumId w:val="35"/>
  </w:num>
  <w:num w:numId="30">
    <w:abstractNumId w:val="15"/>
  </w:num>
  <w:num w:numId="31">
    <w:abstractNumId w:val="13"/>
  </w:num>
  <w:num w:numId="32">
    <w:abstractNumId w:val="38"/>
  </w:num>
  <w:num w:numId="33">
    <w:abstractNumId w:val="4"/>
  </w:num>
  <w:num w:numId="34">
    <w:abstractNumId w:val="34"/>
  </w:num>
  <w:num w:numId="35">
    <w:abstractNumId w:val="39"/>
  </w:num>
  <w:num w:numId="36">
    <w:abstractNumId w:val="37"/>
  </w:num>
  <w:num w:numId="37">
    <w:abstractNumId w:val="27"/>
  </w:num>
  <w:num w:numId="38">
    <w:abstractNumId w:val="9"/>
  </w:num>
  <w:num w:numId="39">
    <w:abstractNumId w:val="8"/>
  </w:num>
  <w:num w:numId="40">
    <w:abstractNumId w:val="36"/>
  </w:num>
  <w:num w:numId="41">
    <w:abstractNumId w:val="28"/>
  </w:num>
  <w:num w:numId="42">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078DC"/>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0A8D"/>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5AFA"/>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0516"/>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04FC"/>
    <w:rsid w:val="00C31692"/>
    <w:rsid w:val="00C31E8A"/>
    <w:rsid w:val="00C3248D"/>
    <w:rsid w:val="00C35218"/>
    <w:rsid w:val="00C35415"/>
    <w:rsid w:val="00C37441"/>
    <w:rsid w:val="00C375D7"/>
    <w:rsid w:val="00C46EB1"/>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11A70-95DD-486B-B31D-0D294D8F2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2024-05-16T05:49:00Z</dcterms:created>
  <dcterms:modified xsi:type="dcterms:W3CDTF">2024-05-16T05:49:00Z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